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52" w:rsidRDefault="00654752">
      <w:pPr>
        <w:pStyle w:val="ConsPlusNormal"/>
        <w:jc w:val="both"/>
        <w:outlineLvl w:val="0"/>
      </w:pPr>
    </w:p>
    <w:p w:rsidR="00654752" w:rsidRDefault="006547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4752" w:rsidRDefault="00654752">
      <w:pPr>
        <w:pStyle w:val="ConsPlusTitle"/>
        <w:jc w:val="center"/>
      </w:pPr>
    </w:p>
    <w:p w:rsidR="00654752" w:rsidRDefault="00654752">
      <w:pPr>
        <w:pStyle w:val="ConsPlusTitle"/>
        <w:jc w:val="center"/>
      </w:pPr>
      <w:r>
        <w:t>ПОСТАНОВЛЕНИЕ</w:t>
      </w:r>
    </w:p>
    <w:p w:rsidR="00654752" w:rsidRDefault="00654752">
      <w:pPr>
        <w:pStyle w:val="ConsPlusTitle"/>
        <w:jc w:val="center"/>
      </w:pPr>
      <w:r>
        <w:t>от 30 июня 2021 г. N 1104</w:t>
      </w:r>
    </w:p>
    <w:p w:rsidR="00654752" w:rsidRDefault="00654752">
      <w:pPr>
        <w:pStyle w:val="ConsPlusTitle"/>
        <w:jc w:val="center"/>
      </w:pPr>
    </w:p>
    <w:p w:rsidR="00654752" w:rsidRDefault="00654752">
      <w:pPr>
        <w:pStyle w:val="ConsPlusTitle"/>
        <w:jc w:val="center"/>
      </w:pPr>
      <w:r>
        <w:t>О ВНЕСЕНИИ ИЗМЕНЕНИЙ</w:t>
      </w:r>
    </w:p>
    <w:p w:rsidR="00654752" w:rsidRDefault="00654752">
      <w:pPr>
        <w:pStyle w:val="ConsPlusTitle"/>
        <w:jc w:val="center"/>
      </w:pPr>
      <w:r>
        <w:t>В НЕКОТОРЫЕ АКТЫ ПРАВИТЕЛЬСТВА РОССИЙСКОЙ ФЕДЕРАЦИИ В ЧАСТИ</w:t>
      </w:r>
    </w:p>
    <w:p w:rsidR="00654752" w:rsidRDefault="00654752">
      <w:pPr>
        <w:pStyle w:val="ConsPlusTitle"/>
        <w:jc w:val="center"/>
      </w:pPr>
      <w:r>
        <w:t>УТОЧНЕНИЯ ОТДЕЛЬНЫХ ПОЛНОМОЧИЙ ПО ОСУЩЕСТВЛЕНИЮ</w:t>
      </w:r>
    </w:p>
    <w:p w:rsidR="00654752" w:rsidRDefault="00654752">
      <w:pPr>
        <w:pStyle w:val="ConsPlusTitle"/>
        <w:jc w:val="center"/>
      </w:pPr>
      <w:r>
        <w:t>ОФИЦИАЛЬНОГО СТАТИСТИЧЕСКОГО УЧЕТА И ПОРЯДКА</w:t>
      </w:r>
    </w:p>
    <w:p w:rsidR="00654752" w:rsidRDefault="00654752">
      <w:pPr>
        <w:pStyle w:val="ConsPlusTitle"/>
        <w:jc w:val="center"/>
      </w:pPr>
      <w:r>
        <w:t>ПРЕДОСТАВЛЕНИЯ ПЕРВИЧНЫХ СТАТИСТИЧЕСКИХ ДАННЫХ</w:t>
      </w:r>
    </w:p>
    <w:p w:rsidR="00654752" w:rsidRDefault="00654752">
      <w:pPr>
        <w:pStyle w:val="ConsPlusNormal"/>
        <w:jc w:val="center"/>
      </w:pPr>
    </w:p>
    <w:p w:rsidR="00654752" w:rsidRDefault="0065475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данных.</w:t>
      </w: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jc w:val="right"/>
      </w:pPr>
      <w:r>
        <w:t>Председатель Правительства</w:t>
      </w:r>
    </w:p>
    <w:p w:rsidR="00654752" w:rsidRDefault="00654752">
      <w:pPr>
        <w:pStyle w:val="ConsPlusNormal"/>
        <w:jc w:val="right"/>
      </w:pPr>
      <w:r>
        <w:t>Российской Федерации</w:t>
      </w:r>
    </w:p>
    <w:p w:rsidR="00654752" w:rsidRDefault="00654752">
      <w:pPr>
        <w:pStyle w:val="ConsPlusNormal"/>
        <w:jc w:val="right"/>
      </w:pPr>
      <w:r>
        <w:t>М.МИШУСТИН</w:t>
      </w: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ind w:firstLine="540"/>
        <w:jc w:val="both"/>
      </w:pPr>
    </w:p>
    <w:p w:rsidR="00654752" w:rsidRDefault="00654752">
      <w:pPr>
        <w:pStyle w:val="ConsPlusNormal"/>
        <w:jc w:val="right"/>
        <w:outlineLvl w:val="0"/>
      </w:pPr>
      <w:r>
        <w:t>Утверждены</w:t>
      </w:r>
    </w:p>
    <w:p w:rsidR="00654752" w:rsidRDefault="00654752">
      <w:pPr>
        <w:pStyle w:val="ConsPlusNormal"/>
        <w:jc w:val="right"/>
      </w:pPr>
      <w:r>
        <w:t>постановлением Правительства</w:t>
      </w:r>
    </w:p>
    <w:p w:rsidR="00654752" w:rsidRDefault="00654752">
      <w:pPr>
        <w:pStyle w:val="ConsPlusNormal"/>
        <w:jc w:val="right"/>
      </w:pPr>
      <w:r>
        <w:t>Российской Федерации</w:t>
      </w:r>
    </w:p>
    <w:p w:rsidR="00654752" w:rsidRDefault="00654752">
      <w:pPr>
        <w:pStyle w:val="ConsPlusNormal"/>
        <w:jc w:val="right"/>
      </w:pPr>
      <w:r>
        <w:t>от 30 июня 2021 г. N 1104</w:t>
      </w:r>
    </w:p>
    <w:p w:rsidR="00654752" w:rsidRDefault="00654752">
      <w:pPr>
        <w:pStyle w:val="ConsPlusNormal"/>
        <w:jc w:val="both"/>
      </w:pPr>
    </w:p>
    <w:p w:rsidR="00654752" w:rsidRDefault="00654752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54752" w:rsidRDefault="0065475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54752" w:rsidRDefault="00654752">
      <w:pPr>
        <w:pStyle w:val="ConsPlusTitle"/>
        <w:jc w:val="center"/>
      </w:pPr>
      <w:r>
        <w:t>В ЧАСТИ УТОЧНЕНИЯ ОТДЕЛЬНЫХ ПОЛНОМОЧИЙ ПО ОСУЩЕСТВЛЕНИЮ</w:t>
      </w:r>
    </w:p>
    <w:p w:rsidR="00654752" w:rsidRDefault="00654752">
      <w:pPr>
        <w:pStyle w:val="ConsPlusTitle"/>
        <w:jc w:val="center"/>
      </w:pPr>
      <w:r>
        <w:t>ОФИЦИАЛЬНОГО СТАТИСТИЧЕСКОГО УЧЕТА И ПОРЯДКА ПРЕДОСТАВЛЕНИЯ</w:t>
      </w:r>
    </w:p>
    <w:p w:rsidR="00654752" w:rsidRDefault="00654752">
      <w:pPr>
        <w:pStyle w:val="ConsPlusTitle"/>
        <w:jc w:val="center"/>
      </w:pPr>
      <w:r>
        <w:t>ПЕРВИЧНЫХ СТАТИСТИЧЕСКИХ ДАННЫХ</w:t>
      </w:r>
    </w:p>
    <w:p w:rsidR="00654752" w:rsidRDefault="00654752">
      <w:pPr>
        <w:pStyle w:val="ConsPlusNormal"/>
        <w:jc w:val="both"/>
      </w:pPr>
    </w:p>
    <w:p w:rsidR="00654752" w:rsidRDefault="006547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пункте 2</w:t>
        </w:r>
      </w:hyperlink>
      <w:r>
        <w:t xml:space="preserve"> Правил проведения выборочных статистических наблюдений за деятельностью субъектов малого и среднего предпринимательства, утвержденных постановлением Правительства Российской Федерации от 16 февраля 2008 г. N 79 "О порядке проведения выборочных статистических наблюдений за деятельностью субъектов малого и среднего предпринимательства" (Собрание законодательства Российской Федерации, 2008, N 8, ст. 736; 2018, N 1, ст. 382):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"Федеральная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(далее - информирование) посредством размещения на своем официальном сайте в информационно-телекоммуникационной сети "Интернет" перечней, указанных в абзаце первом настоящего пункта, с указанием индексов и наименований форм, подлежащих предоставлению, реквизитов актов об их утверждении.";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"Дополнительно для информирования Федеральной службой государственной статистики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Федеральной службы государственной статистики,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 xml:space="preserve">Для дополнительного информирования используются контактные данные респондента - индивидуального предпринимателя либо должностного лица, уполномоченного в соответствии с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Положения об условиях предоставления в обязательном порядке первичных статистических данных и </w:t>
      </w:r>
      <w:r>
        <w:lastRenderedPageBreak/>
        <w:t>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"Об условиях предоставления в обязательном порядке первичных статистических данных и административных данных субъектам</w:t>
      </w:r>
      <w:proofErr w:type="gramEnd"/>
      <w:r>
        <w:t xml:space="preserve"> </w:t>
      </w:r>
      <w:proofErr w:type="gramStart"/>
      <w:r>
        <w:t>официального статистического учета",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</w:t>
      </w:r>
      <w:proofErr w:type="gramEnd"/>
      <w:r>
        <w:t xml:space="preserve"> и муниципальных услуг (функций)").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При отсутствии информации о контактных данных лиц, указанных в абзаце пятом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респондента.".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утвержденном постановлением Правительства Российской Федерации от 18 августа 2008 г. N 620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 (Собрание законодательства Российской Федерации, 2008, N 34, ст. 3929;</w:t>
      </w:r>
      <w:proofErr w:type="gramEnd"/>
      <w:r>
        <w:t xml:space="preserve"> </w:t>
      </w:r>
      <w:proofErr w:type="gramStart"/>
      <w:r>
        <w:t>2012, N 53, ст. 7958; 2015, N 17, ст. 2573):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2</w:t>
        </w:r>
      </w:hyperlink>
      <w:r>
        <w:t xml:space="preserve"> слово "письменного" исключить;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4</w:t>
        </w:r>
      </w:hyperlink>
      <w:r>
        <w:t>:</w:t>
      </w:r>
    </w:p>
    <w:p w:rsidR="00654752" w:rsidRDefault="00654752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абзац второй</w:t>
        </w:r>
      </w:hyperlink>
      <w:r>
        <w:t xml:space="preserve"> после слов "субъектов официального статистического учета" дополнить словами "в порядке, установленном Министерством экономического развития Российской Федерации";</w:t>
      </w:r>
    </w:p>
    <w:p w:rsidR="00654752" w:rsidRDefault="00654752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8" w:history="1">
        <w:r>
          <w:rPr>
            <w:color w:val="0000FF"/>
          </w:rPr>
          <w:t>восьмой</w:t>
        </w:r>
      </w:hyperlink>
      <w:r>
        <w:t xml:space="preserve"> изложить в следующей редакции: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"Субъекты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информирование), посредством размещения на своих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субъектов официального статистического учета,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Для дополнительного информирования используются контактные данные респондента-гражданина, осуществляющего предпринимательскую деятельность без образования юридического лица на территории Российской Федерации, либо должностного лица, уполномоченного в соответствии с пунктом 5 настоящего Положения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</w:t>
      </w:r>
      <w:proofErr w:type="gramEnd"/>
      <w:r>
        <w:t xml:space="preserve">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При отсутствии информации о контактных данных лиц, указанных в абзаце седьмом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респондента.";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девятым следующего содержания: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"Формы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форме электронного документа, предназначенного для предоставления первичных статистических данных в электронном виде</w:t>
      </w:r>
      <w:proofErr w:type="gramStart"/>
      <w:r>
        <w:t>.";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пункте 5</w:t>
        </w:r>
      </w:hyperlink>
      <w:r>
        <w:t xml:space="preserve"> слова "статистическую информацию (первичные статистические данные)" заменить словами "первичные статистические данные";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"Субъекты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предоставившим их респондентам уведомление с использованием электронных сре</w:t>
      </w:r>
      <w:proofErr w:type="gramStart"/>
      <w:r>
        <w:t>дств св</w:t>
      </w:r>
      <w:proofErr w:type="gramEnd"/>
      <w:r>
        <w:t xml:space="preserve">язи. </w:t>
      </w:r>
      <w:proofErr w:type="gramStart"/>
      <w:r>
        <w:t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пунктом 5 настоящего Положения, или необходимые пояснения.";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"7. Первичные статистические данные, документированные по формам федерального статистического наблюдения, предоставляются респондентами в форме электронного документа, если иное не установлено федеральными законами.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Start"/>
      <w:r>
        <w:t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>Формат предоставления первичных статистических данных по каждой форме федерального статистического наблюдения устанавливается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Программное обеспечение, технические средства, включая носители информации, каналы связи и средства защиты определяются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учета), а также лично или через представителя на электронном носителе (оптический диск CD или DVD, </w:t>
      </w:r>
      <w:proofErr w:type="spellStart"/>
      <w:r>
        <w:t>флеш</w:t>
      </w:r>
      <w:proofErr w:type="spellEnd"/>
      <w:r>
        <w:t>-накопитель USB).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или через представителя, или в виде почтового отправления с описью вложения</w:t>
      </w:r>
      <w:proofErr w:type="gramStart"/>
      <w:r>
        <w:t>.";</w:t>
      </w:r>
      <w:proofErr w:type="gramEnd"/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е) в </w:t>
      </w:r>
      <w:hyperlink r:id="rId23" w:history="1">
        <w:r>
          <w:rPr>
            <w:color w:val="0000FF"/>
          </w:rPr>
          <w:t>абзаце втором пункта 9</w:t>
        </w:r>
      </w:hyperlink>
      <w:r>
        <w:t xml:space="preserve"> слово "письменном" исключить;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ж) </w:t>
      </w:r>
      <w:hyperlink r:id="rId24" w:history="1">
        <w:r>
          <w:rPr>
            <w:color w:val="0000FF"/>
          </w:rPr>
          <w:t>пункт 10</w:t>
        </w:r>
      </w:hyperlink>
      <w:r>
        <w:t xml:space="preserve"> признать утратившим силу;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з) </w:t>
      </w:r>
      <w:hyperlink r:id="rId25" w:history="1">
        <w:r>
          <w:rPr>
            <w:color w:val="0000FF"/>
          </w:rPr>
          <w:t>пункты 11</w:t>
        </w:r>
      </w:hyperlink>
      <w:r>
        <w:t xml:space="preserve"> и </w:t>
      </w:r>
      <w:hyperlink r:id="rId26" w:history="1">
        <w:r>
          <w:rPr>
            <w:color w:val="0000FF"/>
          </w:rPr>
          <w:t>12</w:t>
        </w:r>
      </w:hyperlink>
      <w:r>
        <w:t xml:space="preserve"> изложить в следующей редакции: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 xml:space="preserve">"11. Датой предоставления первичных статистических данных и административных данных считается дата их отправки либо фактической передачи субъекту официального статистического учета одним из </w:t>
      </w:r>
      <w:r>
        <w:lastRenderedPageBreak/>
        <w:t>предусмотренных настоящим Положением способов.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12. Субъекты официального статистического учета при получении от респондента первичных статистических данных в форме электронного документа на электронных носителях передают респонденту квитанцию о приеме по форме, устанавливаемой субъектами официального статистического учета</w:t>
      </w:r>
      <w:proofErr w:type="gramStart"/>
      <w:r>
        <w:t>.";</w:t>
      </w:r>
    </w:p>
    <w:p w:rsidR="00654752" w:rsidRDefault="00654752">
      <w:pPr>
        <w:pStyle w:val="ConsPlusNormal"/>
        <w:spacing w:before="200"/>
        <w:ind w:firstLine="540"/>
        <w:jc w:val="both"/>
      </w:pPr>
      <w:proofErr w:type="gramEnd"/>
      <w:r>
        <w:t xml:space="preserve">и) </w:t>
      </w:r>
      <w:hyperlink r:id="rId27" w:history="1">
        <w:r>
          <w:rPr>
            <w:color w:val="0000FF"/>
          </w:rPr>
          <w:t>пункт 13</w:t>
        </w:r>
      </w:hyperlink>
      <w:r>
        <w:t xml:space="preserve"> дополнить абзацем следующего содержания:</w:t>
      </w:r>
    </w:p>
    <w:p w:rsidR="00654752" w:rsidRDefault="00654752">
      <w:pPr>
        <w:pStyle w:val="ConsPlusNormal"/>
        <w:spacing w:before="200"/>
        <w:ind w:firstLine="540"/>
        <w:jc w:val="both"/>
      </w:pPr>
      <w:r>
        <w:t>"Первичные статистические данные и административные данные, содержащие сведения, составляющие государственную тайну, предоставляются на бумажном носителе</w:t>
      </w:r>
      <w:proofErr w:type="gramStart"/>
      <w:r>
        <w:t>.".</w:t>
      </w:r>
      <w:proofErr w:type="gramEnd"/>
    </w:p>
    <w:p w:rsidR="00654752" w:rsidRDefault="00654752">
      <w:pPr>
        <w:pStyle w:val="ConsPlusNormal"/>
        <w:jc w:val="both"/>
      </w:pPr>
    </w:p>
    <w:p w:rsidR="00654752" w:rsidRDefault="00654752">
      <w:pPr>
        <w:pStyle w:val="ConsPlusNormal"/>
        <w:jc w:val="both"/>
      </w:pPr>
    </w:p>
    <w:p w:rsidR="00654752" w:rsidRDefault="00654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36B" w:rsidRDefault="0062636B">
      <w:bookmarkStart w:id="1" w:name="_GoBack"/>
      <w:bookmarkEnd w:id="1"/>
    </w:p>
    <w:sectPr w:rsidR="0062636B" w:rsidSect="0069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2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54752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18DA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54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4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54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4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D2CA76968AD9D480A037DA455434C9999601C9DA8BF219EFB6A026C3F8E1022CCBA64216F40BAD90F937274CC302902F61350E26B6812EDq1I1I" TargetMode="External"/><Relationship Id="rId18" Type="http://schemas.openxmlformats.org/officeDocument/2006/relationships/hyperlink" Target="consultantplus://offline/ref=BD2CA76968AD9D480A037DA455434C9999601C9DA8BF219EFB6A026C3F8E1022CCBA64286414EB9D5295272D96652C1DFC0D52qEIBI" TargetMode="External"/><Relationship Id="rId26" Type="http://schemas.openxmlformats.org/officeDocument/2006/relationships/hyperlink" Target="consultantplus://offline/ref=BD2CA76968AD9D480A037DA455434C9999601C9DA8BF219EFB6A026C3F8E1022CCBA64216F40BADA05937274CC302902F61350E26B6812EDq1I1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D2CA76968AD9D480A037DA455434C9999601C9DA8BF219EFB6A026C3F8E1022CCBA64216F40BADB03937274CC302902F61350E26B6812EDq1I1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D2CA76968AD9D480A037DA455434C999B6E149FA9B9219EFB6A026C3F8E1022CCBA64216F40BADB05937274CC302902F61350E26B6812EDq1I1I" TargetMode="External"/><Relationship Id="rId17" Type="http://schemas.openxmlformats.org/officeDocument/2006/relationships/hyperlink" Target="consultantplus://offline/ref=BD2CA76968AD9D480A037DA455434C9999601C9DA8BF219EFB6A026C3F8E1022CCBA64256414EB9D5295272D96652C1DFC0D52qEIBI" TargetMode="External"/><Relationship Id="rId25" Type="http://schemas.openxmlformats.org/officeDocument/2006/relationships/hyperlink" Target="consultantplus://offline/ref=BD2CA76968AD9D480A037DA455434C9999601C9DA8BF219EFB6A026C3F8E1022CCBA64216F40BADA06937274CC302902F61350E26B6812EDq1I1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D2CA76968AD9D480A037DA455434C9999601C9DA8BF219EFB6A026C3F8E1022CCBA64216F40BAD80E937274CC302902F61350E26B6812EDq1I1I" TargetMode="External"/><Relationship Id="rId20" Type="http://schemas.openxmlformats.org/officeDocument/2006/relationships/hyperlink" Target="consultantplus://offline/ref=BD2CA76968AD9D480A037DA455434C9999601C9DA8BF219EFB6A026C3F8E1022CCBA64216F40BADB05937274CC302902F61350E26B6812EDq1I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D2CA76968AD9D480A037DA455434C999A6F129FABBA219EFB6A026C3F8E1022CCBA64216F40BAD801937274CC302902F61350E26B6812EDq1I1I" TargetMode="External"/><Relationship Id="rId24" Type="http://schemas.openxmlformats.org/officeDocument/2006/relationships/hyperlink" Target="consultantplus://offline/ref=BD2CA76968AD9D480A037DA455434C9999601C9DA8BF219EFB6A026C3F8E1022CCBA64216F40BADA07937274CC302902F61350E26B6812EDq1I1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D2CA76968AD9D480A037DA455434C9999601C9DA8BF219EFB6A026C3F8E1022CCBA64216F40BAD80F937274CC302902F61350E26B6812EDq1I1I" TargetMode="External"/><Relationship Id="rId23" Type="http://schemas.openxmlformats.org/officeDocument/2006/relationships/hyperlink" Target="consultantplus://offline/ref=BD2CA76968AD9D480A037DA455434C9999601C9DA8BF219EFB6A026C3F8E1022CCBA64216F40BADB0E937274CC302902F61350E26B6812EDq1I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2CA76968AD9D480A037DA455434C999A6F129FABBA219EFB6A026C3F8E1022CCBA64226414EB9D5295272D96652C1DFC0D52qEIBI" TargetMode="External"/><Relationship Id="rId19" Type="http://schemas.openxmlformats.org/officeDocument/2006/relationships/hyperlink" Target="consultantplus://offline/ref=BD2CA76968AD9D480A037DA455434C9999601C9DA8BF219EFB6A026C3F8E1022CCBA64216F40BAD80F937274CC302902F61350E26B6812EDq1I1I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BD2CA76968AD9D480A037DA455434C999A6F129FABBA219EFB6A026C3F8E1022CCBA64216F40BAD801937274CC302902F61350E26B6812EDq1I1I" TargetMode="External"/><Relationship Id="rId14" Type="http://schemas.openxmlformats.org/officeDocument/2006/relationships/hyperlink" Target="consultantplus://offline/ref=BD2CA76968AD9D480A037DA455434C9999601C9DA8BF219EFB6A026C3F8E1022CCBA64216F40BAD803937274CC302902F61350E26B6812EDq1I1I" TargetMode="External"/><Relationship Id="rId22" Type="http://schemas.openxmlformats.org/officeDocument/2006/relationships/hyperlink" Target="consultantplus://offline/ref=BD2CA76968AD9D480A037DA455434C9999601C9DA8BF219EFB6A026C3F8E1022CCBA64216414EB9D5295272D96652C1DFC0D52qEIBI" TargetMode="External"/><Relationship Id="rId27" Type="http://schemas.openxmlformats.org/officeDocument/2006/relationships/hyperlink" Target="consultantplus://offline/ref=BD2CA76968AD9D480A037DA455434C9999601C9DA8BF219EFB6A026C3F8E1022CCBA64216F40BADA04937274CC302902F61350E26B6812EDq1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2225</Words>
  <Characters>12684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Вера Васильевна</dc:creator>
  <cp:lastModifiedBy>Широкова Вера Васильевна</cp:lastModifiedBy>
  <cp:revision>2</cp:revision>
  <dcterms:created xsi:type="dcterms:W3CDTF">2021-08-18T08:08:00Z</dcterms:created>
  <dcterms:modified xsi:type="dcterms:W3CDTF">2021-08-18T08:09:00Z</dcterms:modified>
</cp:coreProperties>
</file>